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9C370E" w:rsidRPr="009C370E" w:rsidTr="00226E1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915D25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915D25" w:rsidRDefault="002A1568" w:rsidP="002A1568">
            <w:pPr>
              <w:spacing w:before="60" w:after="6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b/>
                <w:sz w:val="20"/>
                <w:szCs w:val="20"/>
              </w:rPr>
              <w:t>Računovodstvo poslovnih spajanja</w:t>
            </w:r>
          </w:p>
        </w:tc>
      </w:tr>
      <w:tr w:rsidR="009C370E" w:rsidRPr="009C370E" w:rsidTr="00226E1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915D25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915D25" w:rsidRDefault="002A1568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5D25">
              <w:rPr>
                <w:rFonts w:ascii="Times New Roman" w:hAnsi="Times New Roman"/>
                <w:sz w:val="20"/>
              </w:rPr>
              <w:t>ECS511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915D25" w:rsidRDefault="002A156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9C370E" w:rsidRPr="009C370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915D25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915D25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915D25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915D25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  <w:p w:rsidR="00635C5D" w:rsidRPr="00915D25" w:rsidRDefault="00635C5D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915D25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915D25">
              <w:rPr>
                <w:rFonts w:ascii="Times New Roman" w:hAnsi="Times New Roman" w:cs="Arial"/>
                <w:sz w:val="20"/>
                <w:szCs w:val="20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915D25" w:rsidRDefault="002A156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9C370E" w:rsidRPr="009C370E" w:rsidTr="00226E1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915D25" w:rsidRDefault="008C0B2D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915D25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915D25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915D25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915D25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D736C0" w:rsidRPr="009C370E" w:rsidTr="00226E1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A5871" w:rsidRPr="001A5871" w:rsidRDefault="001A5871" w:rsidP="00D736C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1A5871">
              <w:rPr>
                <w:rFonts w:ascii="Times New Roman" w:hAnsi="Times New Roman" w:cs="Arial"/>
                <w:strike/>
                <w:sz w:val="20"/>
                <w:szCs w:val="20"/>
              </w:rPr>
              <w:t>40%</w:t>
            </w:r>
          </w:p>
          <w:p w:rsidR="00D736C0" w:rsidRPr="00915D25" w:rsidRDefault="00516993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1A5871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 w:rsidR="00D736C0" w:rsidRPr="001A5871">
              <w:rPr>
                <w:rFonts w:ascii="Times New Roman" w:hAnsi="Times New Roman" w:cs="Arial"/>
                <w:color w:val="00B050"/>
                <w:sz w:val="20"/>
                <w:szCs w:val="20"/>
              </w:rPr>
              <w:t>0%</w:t>
            </w:r>
          </w:p>
        </w:tc>
      </w:tr>
      <w:tr w:rsidR="00D736C0" w:rsidRPr="009C370E" w:rsidTr="00226E13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15D25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 izvještavanje poslovnih spajanja, podjele društava kapitala i konsolidaciju financijskih izvještaja grupa</w:t>
            </w: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15D25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D736C0" w:rsidRPr="00915D25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15D25" w:rsidRDefault="00D736C0" w:rsidP="00D736C0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D736C0" w:rsidRPr="00915D25" w:rsidRDefault="00D736C0" w:rsidP="00D736C0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Odabrati adekvatne računovodstvene metode za obračun poslovnih spajanja, podjele društava kapitala i konsolidaciju financijskih izvještaja grupa</w:t>
            </w:r>
          </w:p>
          <w:p w:rsidR="00D736C0" w:rsidRPr="00915D25" w:rsidRDefault="00D736C0" w:rsidP="00D736C0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D736C0" w:rsidRPr="00915D25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Utvrditi imovinu, obveze, </w:t>
            </w:r>
            <w:proofErr w:type="spellStart"/>
            <w:r w:rsidRPr="00915D25">
              <w:rPr>
                <w:rFonts w:ascii="Times New Roman" w:hAnsi="Times New Roman" w:cs="Arial"/>
                <w:sz w:val="20"/>
                <w:szCs w:val="20"/>
              </w:rPr>
              <w:t>nekontrolirajuće</w:t>
            </w:r>
            <w:proofErr w:type="spellEnd"/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 interese i </w:t>
            </w:r>
            <w:proofErr w:type="spellStart"/>
            <w:r w:rsidRPr="00915D25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 za transakcije poslovnih spajanja</w:t>
            </w:r>
          </w:p>
          <w:p w:rsidR="00D736C0" w:rsidRPr="00915D25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Valorizirati </w:t>
            </w:r>
            <w:proofErr w:type="spellStart"/>
            <w:r w:rsidRPr="00915D25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 nakon dana poslovnog spajanja</w:t>
            </w:r>
          </w:p>
          <w:p w:rsidR="00D736C0" w:rsidRPr="00915D25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>Utvrditi imovinu, obveze i glavnicu nakon podjele društva kapitala</w:t>
            </w:r>
          </w:p>
          <w:p w:rsidR="00D736C0" w:rsidRPr="00915D25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Sastaviti konsolidirane financijske izvještaje grupe </w:t>
            </w:r>
          </w:p>
          <w:p w:rsidR="00D736C0" w:rsidRPr="00915D25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4"/>
              </w:rPr>
              <w:t>Valorizirati tečajne razlike u konsolidiranim financijskim izvještajima grupe za ovisna društva iz inozemstva</w:t>
            </w: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15D25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915D25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15D25" w:rsidRDefault="00D736C0" w:rsidP="00D736C0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915D25" w:rsidRPr="00915D25" w:rsidTr="00516993">
              <w:trPr>
                <w:cantSplit/>
                <w:trHeight w:val="382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  <w:bookmarkStart w:id="0" w:name="_GoBack"/>
                  <w:bookmarkEnd w:id="0"/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915D25" w:rsidRPr="00915D25" w:rsidTr="00516993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Poslovna spajanja: strategijski, pravni i porezni aspekti.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Studije slučajeva poslovnih spajanja: strategijski, pravni i porezni aspekti.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Vrednovanje poslovnih spajanja: vrednovanje temeljem imovine, DCF, multiplikatori, usporedive transakcije.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Praktične vježbe: Vrednovanje ciljnih kompanija na bazi neto imovine, DCF, multiplikatora i usporedivih transakcija.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poslovnih spajanja prema MSFI 3 i HSFI 2.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Praktične vježbe: Obračun i knjiženje pripajanja. Obračun i knjiženje spajanja. Obračun i knjiženje kupnje neto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Obračun i knjiženje povezivanja uz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. Obračun i knjiženje povezivanja uz dobit od povoljne kupnje. Obrnuta stjecanja. Pripajanje matice ovisnom društvu.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Obračun i knjiženje povezivanja uz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. Obračun i knjiženje povezivanja uz dobit od povoljne kupnje.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: definicije, aspekti, metode mjerenja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. Inicijalno i naknadno mjerenje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i HSFI.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Naknadno mjerenje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(MRS 36) i HSFI (HSFI 2).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Podjele društava kapitala prema odredbama ZTD-a.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Praktične vježbe: Razdvajanje s osnivanjem i razdvajanje s preuzimanjem. Odvajanje s osnivanjem i odvajanje s preuzimanjem.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736C0" w:rsidRPr="00915D25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Zakonski okvir za konsolidaciju: ZOR, ZTVP, MSFI 10, MRS 27, MSFI 12 i HSFI 2. Teorije konsolidacije. Struktura grupe.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ulaganja i mjerenje NKI na dan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na dan spajanja. Eliminacija ulaganja i mjerenje NKI.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dividendi, potraživanja, obveza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 dividendi, potraživanja, obveza.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rashoda, potraživanja, obveza i nerealizirane dobiti od prodaje zaliha. Uzvodni i nizvodni transferi zaliha. Eliminacije u godini transfera i u godinama nakon transfera zaliha.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zaliha.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 koja se amortizira i koja se ne amortizira.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Praktične vježbe: Konsolidacija financijskih izvještaja inozemnog poslovanja na dan spajanja i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inozemnog poslovanja (MRS 21)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Praktične vježbe: Računovodstvo ulaganja u zajedničke poslove: zajedničko upravljanje i zajednički poslovi.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  <w:trHeight w:val="107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zajedničke poslove (MSFI 11)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Računovodstvo ulaganja u pridružena društva primjenom metode udjela.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15D25" w:rsidRPr="00915D25" w:rsidTr="00516993">
              <w:trPr>
                <w:cantSplit/>
                <w:trHeight w:val="798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pridružena društva (MRS-28 i HSFI 2)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5D25" w:rsidRPr="00915D25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5D2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D736C0" w:rsidRPr="00915D25" w:rsidRDefault="00D736C0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6993" w:rsidRPr="00915D25" w:rsidRDefault="00516993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6993" w:rsidRPr="00915D25" w:rsidRDefault="00516993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16993" w:rsidRPr="00915D25" w:rsidRDefault="00516993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736C0" w:rsidRPr="009C370E" w:rsidTr="00226E1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736C0" w:rsidRPr="00915D25" w:rsidRDefault="00915D25" w:rsidP="00D736C0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915D25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sym w:font="Wingdings" w:char="F0FE"/>
            </w:r>
            <w:r w:rsidRPr="00915D25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 xml:space="preserve"> </w:t>
            </w:r>
            <w:r w:rsidR="00D736C0" w:rsidRPr="00915D25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 xml:space="preserve">  predavanja </w:t>
            </w:r>
          </w:p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sym w:font="Wingdings" w:char="F0FE"/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 vježbe  </w:t>
            </w:r>
          </w:p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D736C0" w:rsidRPr="00915D25" w:rsidRDefault="008C0B2D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915D25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915D25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736C0" w:rsidRPr="00915D25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eastAsia="Arial Unicode MS" w:hAnsi="Times New Roman" w:cs="Arial Unicode MS"/>
                <w:color w:val="000000" w:themeColor="text1"/>
                <w:sz w:val="20"/>
                <w:szCs w:val="20"/>
              </w:rPr>
              <w:t>☐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eastAsia="Arial Unicode MS" w:cs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eastAsia="Arial Unicode MS" w:hAnsi="Times New Roman" w:cs="Arial Unicode MS"/>
                <w:color w:val="000000" w:themeColor="text1"/>
                <w:sz w:val="20"/>
                <w:szCs w:val="20"/>
              </w:rPr>
              <w:t>☐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9C370E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9C370E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736C0" w:rsidRPr="009C370E" w:rsidTr="00226E1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A6013F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5D25">
              <w:rPr>
                <w:rFonts w:ascii="Times New Roman" w:hAnsi="Times New Roman"/>
                <w:color w:val="00B050"/>
                <w:sz w:val="20"/>
                <w:szCs w:val="20"/>
              </w:rPr>
              <w:t>Studenti su obvezni redovito pohađati n</w:t>
            </w:r>
            <w:r w:rsidR="005615FA">
              <w:rPr>
                <w:rFonts w:ascii="Times New Roman" w:hAnsi="Times New Roman"/>
                <w:color w:val="00B050"/>
                <w:sz w:val="20"/>
                <w:szCs w:val="20"/>
              </w:rPr>
              <w:t>astavu, te ostvariti minimalno 7</w:t>
            </w:r>
            <w:r w:rsidRPr="00915D25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0% dolazaka. </w:t>
            </w:r>
            <w:r w:rsidRPr="00A6013F">
              <w:rPr>
                <w:rFonts w:ascii="Times New Roman" w:hAnsi="Times New Roman"/>
                <w:sz w:val="20"/>
                <w:szCs w:val="20"/>
              </w:rPr>
              <w:t xml:space="preserve">Za dobivanje potpisa studenti moraju </w:t>
            </w:r>
            <w:r w:rsidRPr="00915D25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uz redovito pohađanje nastave </w:t>
            </w:r>
            <w:r w:rsidRPr="00A6013F">
              <w:rPr>
                <w:rFonts w:ascii="Times New Roman" w:hAnsi="Times New Roman"/>
                <w:sz w:val="20"/>
                <w:szCs w:val="20"/>
              </w:rPr>
              <w:t xml:space="preserve">pozitivno riješiti (više </w:t>
            </w:r>
            <w:r w:rsidR="004773A6" w:rsidRPr="008C0B2D">
              <w:rPr>
                <w:rFonts w:ascii="Times New Roman" w:hAnsi="Times New Roman"/>
                <w:color w:val="00B050"/>
                <w:sz w:val="20"/>
                <w:szCs w:val="20"/>
              </w:rPr>
              <w:t>od</w:t>
            </w:r>
          </w:p>
          <w:p w:rsidR="00D736C0" w:rsidRPr="009C370E" w:rsidRDefault="00D736C0" w:rsidP="004773A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6013F">
              <w:rPr>
                <w:rFonts w:ascii="Times New Roman" w:hAnsi="Times New Roman"/>
                <w:sz w:val="20"/>
                <w:szCs w:val="20"/>
              </w:rPr>
              <w:t xml:space="preserve">50%) </w:t>
            </w:r>
            <w:r w:rsidRPr="004D11C4">
              <w:rPr>
                <w:rFonts w:ascii="Times New Roman" w:hAnsi="Times New Roman"/>
                <w:sz w:val="20"/>
                <w:szCs w:val="20"/>
              </w:rPr>
              <w:t xml:space="preserve">četiri </w:t>
            </w:r>
            <w:proofErr w:type="spellStart"/>
            <w:r w:rsidRPr="00A6013F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A6013F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A6013F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A6013F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915D25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915D25">
              <w:rPr>
                <w:rFonts w:ascii="Times New Roman" w:hAnsi="Times New Roman"/>
                <w:sz w:val="20"/>
                <w:szCs w:val="20"/>
              </w:rPr>
              <w:t xml:space="preserve"> test se sastoji od pitanja s </w:t>
            </w:r>
            <w:r w:rsidR="004773A6" w:rsidRPr="00915D25">
              <w:rPr>
                <w:rFonts w:ascii="Times New Roman" w:hAnsi="Times New Roman"/>
                <w:sz w:val="20"/>
                <w:szCs w:val="20"/>
              </w:rPr>
              <w:t>višestrukim</w:t>
            </w:r>
            <w:r w:rsidRPr="00915D25">
              <w:rPr>
                <w:rFonts w:ascii="Times New Roman" w:hAnsi="Times New Roman"/>
                <w:sz w:val="20"/>
                <w:szCs w:val="20"/>
              </w:rPr>
              <w:t xml:space="preserve"> odgovorima čijim rješavanjem studenti dobivaju uvid u razinu stečenog znanja prije izlaska na test.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5D25">
              <w:rPr>
                <w:rFonts w:ascii="Times New Roman" w:hAnsi="Times New Roman"/>
                <w:strike/>
                <w:sz w:val="20"/>
                <w:szCs w:val="20"/>
              </w:rPr>
              <w:t>Za izlazak na svaki od testova</w:t>
            </w:r>
            <w:r w:rsidR="001328DB" w:rsidRPr="00915D25">
              <w:rPr>
                <w:rFonts w:ascii="Times New Roman" w:hAnsi="Times New Roman"/>
                <w:strike/>
                <w:sz w:val="20"/>
                <w:szCs w:val="20"/>
              </w:rPr>
              <w:t>,</w:t>
            </w:r>
            <w:r w:rsidRPr="00915D25">
              <w:rPr>
                <w:rFonts w:ascii="Times New Roman" w:hAnsi="Times New Roman"/>
                <w:strike/>
                <w:sz w:val="20"/>
                <w:szCs w:val="20"/>
              </w:rPr>
              <w:t xml:space="preserve"> student je dužan točno riješiti</w:t>
            </w:r>
            <w:r w:rsidR="001328DB" w:rsidRPr="00915D25">
              <w:rPr>
                <w:rFonts w:ascii="Times New Roman" w:hAnsi="Times New Roman"/>
                <w:strike/>
                <w:sz w:val="20"/>
                <w:szCs w:val="20"/>
              </w:rPr>
              <w:t xml:space="preserve"> dva pripremna zadatka (minimum 50%).</w:t>
            </w:r>
            <w:r w:rsidR="001328DB" w:rsidRPr="00915D2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736C0" w:rsidRPr="009C370E" w:rsidTr="00226E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1A5871" w:rsidRDefault="00D736C0" w:rsidP="00D736C0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1A5871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8C0B2D" w:rsidRPr="001A5871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D736C0" w:rsidRPr="009C370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1A5871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1,0</w:t>
            </w:r>
          </w:p>
        </w:tc>
      </w:tr>
      <w:tr w:rsidR="00D736C0" w:rsidRPr="009C370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Testovi*</w:t>
            </w:r>
          </w:p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(oba položena testa zamjenjuju pisani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1A5871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  <w:p w:rsidR="00D736C0" w:rsidRPr="001A5871" w:rsidRDefault="00D736C0" w:rsidP="00D736C0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1A5871">
              <w:rPr>
                <w:rFonts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D736C0" w:rsidRPr="009C370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9C370E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736C0" w:rsidRPr="004D11C4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D11C4">
              <w:rPr>
                <w:rFonts w:cs="Arial"/>
                <w:b w:val="0"/>
                <w:sz w:val="20"/>
                <w:szCs w:val="20"/>
                <w:lang w:val="hr-HR"/>
              </w:rPr>
              <w:t>Usmeni ispit (</w:t>
            </w:r>
            <w:proofErr w:type="spellStart"/>
            <w:r w:rsidRPr="004D11C4">
              <w:rPr>
                <w:rFonts w:cs="Arial"/>
                <w:b w:val="0"/>
                <w:sz w:val="20"/>
                <w:szCs w:val="20"/>
                <w:lang w:val="hr-HR"/>
              </w:rPr>
              <w:t>Zoom</w:t>
            </w:r>
            <w:proofErr w:type="spellEnd"/>
            <w:r w:rsidRPr="004D11C4">
              <w:rPr>
                <w:rFonts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736C0" w:rsidRPr="004D11C4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D736C0" w:rsidRPr="001A5871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587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D736C0" w:rsidRPr="004D11C4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D11C4">
              <w:rPr>
                <w:rFonts w:ascii="Times New Roman" w:hAnsi="Times New Roman" w:cs="Arial"/>
                <w:strike/>
                <w:sz w:val="20"/>
                <w:szCs w:val="20"/>
              </w:rPr>
              <w:t>Pripremni zadatci za 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4D11C4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4D11C4">
              <w:rPr>
                <w:rFonts w:ascii="Times New Roman" w:hAnsi="Times New Roman" w:cs="Arial"/>
                <w:strike/>
                <w:sz w:val="20"/>
                <w:szCs w:val="20"/>
              </w:rPr>
              <w:t>0,5</w:t>
            </w:r>
          </w:p>
        </w:tc>
      </w:tr>
      <w:tr w:rsidR="00D736C0" w:rsidRPr="009C370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Pismeni ispit*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(oba položena testa zamjenjuju pisani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1A5871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  <w:p w:rsidR="00D736C0" w:rsidRPr="001A5871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1A587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  <w:highlight w:val="yellow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Završni ispit se sastoji od dva dijela, pisanog i usmenog ispita. Tijekom nastave studenti mogu riješiti dva testa, temeljem čega se oslobađaju pisanog dijela završnog ispita. 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Bodovni pragovi i odgovarajuće ocjene za testove/pisani ispit: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0-49      nedovoljan (1)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50-64    dovoljan (2)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65-79    dobar (3)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80-89    vrlo dobar (4)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90-100  izvrstan (5)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Nakon položenog pisanog ispita (ili oba testa) student može pristupiti usmenom dijelu ispita.</w:t>
            </w:r>
          </w:p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:rsidR="00D736C0" w:rsidRPr="009C370E" w:rsidRDefault="00D736C0" w:rsidP="00D736C0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prosječne ocjene ostvarene putem testova/pisanog ispita umnožene s ponderom od 0,5 te</w:t>
            </w:r>
          </w:p>
          <w:p w:rsidR="00D736C0" w:rsidRPr="009C370E" w:rsidRDefault="00D736C0" w:rsidP="00D736C0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ocjene s usmenog ispita umnožene s ponderom 0,5.</w:t>
            </w:r>
          </w:p>
        </w:tc>
      </w:tr>
      <w:tr w:rsidR="00D736C0" w:rsidRPr="009C370E" w:rsidTr="00226E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D736C0" w:rsidRPr="009C370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Style w:val="A5"/>
                <w:rFonts w:ascii="Times New Roman" w:hAnsi="Times New Roman" w:cs="Arial"/>
                <w:color w:val="000000" w:themeColor="text1"/>
                <w:sz w:val="20"/>
                <w:szCs w:val="20"/>
              </w:rPr>
              <w:t>Pervan, I. (2012): Računovodstvo poslovnih spajanja-prema MSFI i HSFI, Zagreb: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Plus,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D736C0" w:rsidRPr="009C370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Autorizirana predavanja i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D736C0" w:rsidRPr="009C370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36C0" w:rsidRPr="009C370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D736C0" w:rsidRPr="009C370E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4D11C4" w:rsidRDefault="00D736C0" w:rsidP="00D736C0">
            <w:pPr>
              <w:rPr>
                <w:rFonts w:ascii="Times New Roman" w:hAnsi="Times New Roman"/>
                <w:sz w:val="20"/>
              </w:rPr>
            </w:pPr>
            <w:r w:rsidRPr="004D11C4">
              <w:rPr>
                <w:rFonts w:ascii="Times New Roman" w:hAnsi="Times New Roman"/>
                <w:sz w:val="20"/>
              </w:rPr>
              <w:t>Knjige:</w:t>
            </w:r>
          </w:p>
          <w:p w:rsidR="00952178" w:rsidRPr="004D11C4" w:rsidRDefault="00952178" w:rsidP="00952178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 w:rsidRPr="004D11C4">
              <w:rPr>
                <w:rFonts w:ascii="Times New Roman" w:hAnsi="Times New Roman"/>
                <w:sz w:val="20"/>
              </w:rPr>
              <w:t>Krimpmann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A., (2015):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Principles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of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group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accounting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under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IFRS,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Wiley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Chichester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>.</w:t>
            </w:r>
          </w:p>
          <w:p w:rsidR="00D736C0" w:rsidRPr="004D11C4" w:rsidRDefault="00D736C0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proofErr w:type="spellStart"/>
            <w:r w:rsidRPr="004D11C4">
              <w:rPr>
                <w:rFonts w:ascii="Times New Roman" w:hAnsi="Times New Roman"/>
                <w:sz w:val="20"/>
              </w:rPr>
              <w:t>Jeter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D., C.,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Chaney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P., K. (2013): Advanced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Accounting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Prentice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Hall, New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Jersey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>.</w:t>
            </w:r>
          </w:p>
          <w:p w:rsidR="00D736C0" w:rsidRPr="004D11C4" w:rsidRDefault="00D736C0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proofErr w:type="spellStart"/>
            <w:r w:rsidRPr="004D11C4">
              <w:rPr>
                <w:rFonts w:ascii="Times New Roman" w:hAnsi="Times New Roman"/>
                <w:sz w:val="20"/>
              </w:rPr>
              <w:lastRenderedPageBreak/>
              <w:t>Beams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F.,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Anthony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J.,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Clement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R.,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Lowensohn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S., (2003): Advanced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Accounting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Prentice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Hall, New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Jersey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>.</w:t>
            </w:r>
          </w:p>
          <w:p w:rsidR="00D736C0" w:rsidRPr="004D11C4" w:rsidRDefault="00D736C0" w:rsidP="00D736C0">
            <w:pPr>
              <w:rPr>
                <w:rFonts w:ascii="Times New Roman" w:hAnsi="Times New Roman"/>
                <w:sz w:val="20"/>
              </w:rPr>
            </w:pPr>
            <w:r w:rsidRPr="004D11C4">
              <w:rPr>
                <w:rFonts w:ascii="Times New Roman" w:hAnsi="Times New Roman"/>
                <w:sz w:val="20"/>
              </w:rPr>
              <w:t>Članci:</w:t>
            </w:r>
          </w:p>
          <w:p w:rsidR="000713A4" w:rsidRPr="004D11C4" w:rsidRDefault="000713A4" w:rsidP="0095217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D11C4">
              <w:rPr>
                <w:rFonts w:ascii="Times New Roman" w:hAnsi="Times New Roman"/>
                <w:sz w:val="20"/>
              </w:rPr>
              <w:t xml:space="preserve">Pervan, I, "Računovodstveni, pravni i porezni aspekti spajanja subjekata/poslovanja pod zajedničkom kontrolom ", Računovodstvo, revizija i financije, ISSN: 0353-8087, str. 50-70, broj 8, 2020. </w:t>
            </w:r>
          </w:p>
          <w:p w:rsidR="008A5A78" w:rsidRPr="004D11C4" w:rsidRDefault="008A5A78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D11C4">
              <w:rPr>
                <w:rFonts w:ascii="Times New Roman" w:hAnsi="Times New Roman"/>
                <w:bCs/>
                <w:sz w:val="20"/>
                <w:szCs w:val="20"/>
              </w:rPr>
              <w:t>Pretnar</w:t>
            </w:r>
            <w:proofErr w:type="spellEnd"/>
            <w:r w:rsidRPr="004D11C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D11C4">
              <w:rPr>
                <w:rFonts w:ascii="Times New Roman" w:hAnsi="Times New Roman"/>
                <w:bCs/>
                <w:sz w:val="20"/>
                <w:szCs w:val="20"/>
              </w:rPr>
              <w:t>Abičić</w:t>
            </w:r>
            <w:proofErr w:type="spellEnd"/>
            <w:r w:rsidRPr="004D11C4">
              <w:rPr>
                <w:rFonts w:ascii="Times New Roman" w:hAnsi="Times New Roman"/>
                <w:bCs/>
                <w:sz w:val="20"/>
                <w:szCs w:val="20"/>
              </w:rPr>
              <w:t xml:space="preserve">, S, </w:t>
            </w:r>
            <w:r w:rsidRPr="004D11C4">
              <w:rPr>
                <w:rFonts w:ascii="Times New Roman" w:hAnsi="Times New Roman"/>
                <w:sz w:val="20"/>
                <w:szCs w:val="20"/>
              </w:rPr>
              <w:t>"Sastavljanje konsolidiranih financijskih izvještaja za 2019", Financije, pravo i porezi, broj 7, 2020.</w:t>
            </w:r>
          </w:p>
          <w:p w:rsidR="00D736C0" w:rsidRPr="004D11C4" w:rsidRDefault="00D736C0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r w:rsidRPr="004D11C4">
              <w:rPr>
                <w:rFonts w:ascii="Times New Roman" w:hAnsi="Times New Roman"/>
                <w:sz w:val="20"/>
              </w:rPr>
              <w:t>Pervan, I, "Računovodstvo obrnutog pripajanja (matice ovisnom društvu)", Računovodstvo, revizija i financije, ISSN: 0353-8087, str. 28-38, broj 6, 2017.</w:t>
            </w:r>
          </w:p>
          <w:p w:rsidR="00D736C0" w:rsidRPr="004D11C4" w:rsidRDefault="00D736C0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r w:rsidRPr="004D11C4">
              <w:rPr>
                <w:rFonts w:ascii="Times New Roman" w:hAnsi="Times New Roman"/>
                <w:sz w:val="20"/>
              </w:rPr>
              <w:t xml:space="preserve">Pervan, I., "Novi zahtjevi za računovodstvo grupe", Novi zakoni za poslovanje, str. 279-301,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Revicon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4D11C4">
              <w:rPr>
                <w:rFonts w:ascii="Times New Roman" w:hAnsi="Times New Roman"/>
                <w:sz w:val="20"/>
              </w:rPr>
              <w:t>Neum</w:t>
            </w:r>
            <w:proofErr w:type="spellEnd"/>
            <w:r w:rsidRPr="004D11C4">
              <w:rPr>
                <w:rFonts w:ascii="Times New Roman" w:hAnsi="Times New Roman"/>
                <w:sz w:val="20"/>
              </w:rPr>
              <w:t xml:space="preserve"> (BiH), 2017.</w:t>
            </w:r>
          </w:p>
          <w:p w:rsidR="00D736C0" w:rsidRPr="004D11C4" w:rsidRDefault="00D736C0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r w:rsidRPr="004D11C4">
              <w:rPr>
                <w:rFonts w:ascii="Times New Roman" w:hAnsi="Times New Roman"/>
                <w:sz w:val="20"/>
              </w:rPr>
              <w:t>Pervan, I, "</w:t>
            </w:r>
            <w:r w:rsidRPr="004D11C4">
              <w:rPr>
                <w:rFonts w:ascii="Times New Roman" w:hAnsi="Times New Roman"/>
                <w:sz w:val="20"/>
                <w:lang w:val="pl-PL"/>
              </w:rPr>
              <w:t>Konsolidacija</w:t>
            </w:r>
            <w:r w:rsidRPr="004D11C4">
              <w:rPr>
                <w:rFonts w:ascii="Times New Roman" w:hAnsi="Times New Roman"/>
                <w:sz w:val="20"/>
              </w:rPr>
              <w:t xml:space="preserve"> </w:t>
            </w:r>
            <w:r w:rsidRPr="004D11C4">
              <w:rPr>
                <w:rFonts w:ascii="Times New Roman" w:hAnsi="Times New Roman"/>
                <w:sz w:val="20"/>
                <w:lang w:val="pl-PL"/>
              </w:rPr>
              <w:t>financijskih</w:t>
            </w:r>
            <w:r w:rsidRPr="004D11C4">
              <w:rPr>
                <w:rFonts w:ascii="Times New Roman" w:hAnsi="Times New Roman"/>
                <w:sz w:val="20"/>
              </w:rPr>
              <w:t xml:space="preserve"> </w:t>
            </w:r>
            <w:r w:rsidRPr="004D11C4">
              <w:rPr>
                <w:rFonts w:ascii="Times New Roman" w:hAnsi="Times New Roman"/>
                <w:sz w:val="20"/>
                <w:lang w:val="pl-PL"/>
              </w:rPr>
              <w:t>izvje</w:t>
            </w:r>
            <w:r w:rsidRPr="004D11C4">
              <w:rPr>
                <w:rFonts w:ascii="Times New Roman" w:hAnsi="Times New Roman"/>
                <w:sz w:val="20"/>
              </w:rPr>
              <w:t>š</w:t>
            </w:r>
            <w:r w:rsidRPr="004D11C4">
              <w:rPr>
                <w:rFonts w:ascii="Times New Roman" w:hAnsi="Times New Roman"/>
                <w:sz w:val="20"/>
                <w:lang w:val="pl-PL"/>
              </w:rPr>
              <w:t>taja</w:t>
            </w:r>
            <w:r w:rsidRPr="004D11C4">
              <w:rPr>
                <w:rFonts w:ascii="Times New Roman" w:hAnsi="Times New Roman"/>
                <w:sz w:val="20"/>
              </w:rPr>
              <w:t xml:space="preserve"> </w:t>
            </w:r>
            <w:r w:rsidRPr="004D11C4">
              <w:rPr>
                <w:rFonts w:ascii="Times New Roman" w:hAnsi="Times New Roman"/>
                <w:sz w:val="20"/>
                <w:lang w:val="pl-PL"/>
              </w:rPr>
              <w:t>za</w:t>
            </w:r>
            <w:r w:rsidRPr="004D11C4">
              <w:rPr>
                <w:rFonts w:ascii="Times New Roman" w:hAnsi="Times New Roman"/>
                <w:sz w:val="20"/>
              </w:rPr>
              <w:t xml:space="preserve"> 2014. godinu", Financije, pravo i porezi,  str. 25-38, broj 6, 2015.</w:t>
            </w:r>
          </w:p>
          <w:p w:rsidR="00D736C0" w:rsidRPr="004D11C4" w:rsidRDefault="00D736C0" w:rsidP="00D736C0">
            <w:pPr>
              <w:rPr>
                <w:rFonts w:ascii="Times New Roman" w:hAnsi="Times New Roman"/>
                <w:sz w:val="20"/>
              </w:rPr>
            </w:pPr>
            <w:r w:rsidRPr="004D11C4">
              <w:rPr>
                <w:rFonts w:ascii="Times New Roman" w:hAnsi="Times New Roman"/>
                <w:sz w:val="20"/>
              </w:rPr>
              <w:t>Ostali izvori:</w:t>
            </w:r>
          </w:p>
          <w:p w:rsidR="00D736C0" w:rsidRPr="004D11C4" w:rsidRDefault="00E1452C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7" w:history="1">
              <w:r w:rsidR="00D736C0" w:rsidRPr="004D11C4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https://www.ifrs.org/</w:t>
              </w:r>
            </w:hyperlink>
          </w:p>
          <w:p w:rsidR="00D736C0" w:rsidRPr="004D11C4" w:rsidRDefault="00E1452C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8" w:history="1">
              <w:r w:rsidR="00D736C0" w:rsidRPr="004D11C4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https://www.efrag.org/</w:t>
              </w:r>
            </w:hyperlink>
          </w:p>
          <w:p w:rsidR="00D736C0" w:rsidRPr="004D11C4" w:rsidRDefault="00E1452C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9" w:history="1">
              <w:r w:rsidR="00D736C0" w:rsidRPr="004D11C4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http://www.osfi.hr/</w:t>
              </w:r>
            </w:hyperlink>
          </w:p>
          <w:p w:rsidR="00D736C0" w:rsidRPr="004D11C4" w:rsidRDefault="00E1452C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10" w:history="1">
              <w:r w:rsidR="00D736C0" w:rsidRPr="004D11C4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http://eur-lex.europa.eu/homepage.html?locale=hr</w:t>
              </w:r>
            </w:hyperlink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(nastavnik);</w:t>
            </w:r>
          </w:p>
          <w:p w:rsidR="00D736C0" w:rsidRPr="009C370E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(prodekan za nastavu);</w:t>
            </w:r>
          </w:p>
          <w:p w:rsidR="00D736C0" w:rsidRPr="009C370E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(prodekan za nastavu);</w:t>
            </w:r>
          </w:p>
          <w:p w:rsidR="00D736C0" w:rsidRPr="009C370E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D736C0" w:rsidRPr="009C370E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736C0" w:rsidRPr="009C370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736C0" w:rsidRPr="009C370E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6C0" w:rsidRPr="009C370E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separate"/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9C370E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F20893" w:rsidRPr="009C370E" w:rsidRDefault="00F20893">
      <w:pPr>
        <w:rPr>
          <w:color w:val="000000" w:themeColor="text1"/>
        </w:rPr>
      </w:pPr>
    </w:p>
    <w:sectPr w:rsidR="00F20893" w:rsidRPr="009C370E" w:rsidSect="00F2089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52C" w:rsidRDefault="00E1452C" w:rsidP="00DF6D92">
      <w:pPr>
        <w:spacing w:after="0" w:line="240" w:lineRule="auto"/>
      </w:pPr>
      <w:r>
        <w:separator/>
      </w:r>
    </w:p>
  </w:endnote>
  <w:endnote w:type="continuationSeparator" w:id="0">
    <w:p w:rsidR="00E1452C" w:rsidRDefault="00E1452C" w:rsidP="00DF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D92" w:rsidRPr="00DF6D92" w:rsidRDefault="00DF6D92" w:rsidP="00DF6D92">
    <w:pPr>
      <w:tabs>
        <w:tab w:val="left" w:pos="1207"/>
        <w:tab w:val="center" w:pos="4536"/>
        <w:tab w:val="right" w:pos="9072"/>
      </w:tabs>
      <w:spacing w:after="0" w:line="240" w:lineRule="auto"/>
    </w:pPr>
    <w:r w:rsidRPr="00DF6D92">
      <w:t>2021./2022.</w:t>
    </w:r>
  </w:p>
  <w:p w:rsidR="00DF6D92" w:rsidRDefault="00DF6D92" w:rsidP="00DF6D92">
    <w:pPr>
      <w:tabs>
        <w:tab w:val="left" w:pos="1207"/>
        <w:tab w:val="center" w:pos="4536"/>
        <w:tab w:val="right" w:pos="9072"/>
      </w:tabs>
      <w:spacing w:after="0" w:line="240" w:lineRule="auto"/>
    </w:pPr>
    <w:r w:rsidRPr="00DF6D92">
      <w:t xml:space="preserve">19/10/21 – 2. </w:t>
    </w:r>
    <w:proofErr w:type="spellStart"/>
    <w:r w:rsidRPr="00DF6D92">
      <w:t>Sj</w:t>
    </w:r>
    <w:proofErr w:type="spellEnd"/>
    <w:r w:rsidRPr="00DF6D92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52C" w:rsidRDefault="00E1452C" w:rsidP="00DF6D92">
      <w:pPr>
        <w:spacing w:after="0" w:line="240" w:lineRule="auto"/>
      </w:pPr>
      <w:r>
        <w:separator/>
      </w:r>
    </w:p>
  </w:footnote>
  <w:footnote w:type="continuationSeparator" w:id="0">
    <w:p w:rsidR="00E1452C" w:rsidRDefault="00E1452C" w:rsidP="00DF6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54485"/>
    <w:multiLevelType w:val="hybridMultilevel"/>
    <w:tmpl w:val="A7C492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C24E9"/>
    <w:multiLevelType w:val="hybridMultilevel"/>
    <w:tmpl w:val="58008B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D42BFF"/>
    <w:multiLevelType w:val="hybridMultilevel"/>
    <w:tmpl w:val="3C0AC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444FC"/>
    <w:rsid w:val="000713A4"/>
    <w:rsid w:val="000873C7"/>
    <w:rsid w:val="00091068"/>
    <w:rsid w:val="000F257B"/>
    <w:rsid w:val="001328DB"/>
    <w:rsid w:val="001A1054"/>
    <w:rsid w:val="001A5871"/>
    <w:rsid w:val="001A79D9"/>
    <w:rsid w:val="002149B4"/>
    <w:rsid w:val="002747ED"/>
    <w:rsid w:val="002A1568"/>
    <w:rsid w:val="0030016A"/>
    <w:rsid w:val="00341DF0"/>
    <w:rsid w:val="003B2EF5"/>
    <w:rsid w:val="00430228"/>
    <w:rsid w:val="004773A6"/>
    <w:rsid w:val="004D11C4"/>
    <w:rsid w:val="00516993"/>
    <w:rsid w:val="005615FA"/>
    <w:rsid w:val="0060092B"/>
    <w:rsid w:val="006347A2"/>
    <w:rsid w:val="00635C5D"/>
    <w:rsid w:val="006D3BEE"/>
    <w:rsid w:val="00837FDD"/>
    <w:rsid w:val="00861755"/>
    <w:rsid w:val="008A5A78"/>
    <w:rsid w:val="008A7AB1"/>
    <w:rsid w:val="008C0B2D"/>
    <w:rsid w:val="00910DAE"/>
    <w:rsid w:val="00915D25"/>
    <w:rsid w:val="00952178"/>
    <w:rsid w:val="009C370E"/>
    <w:rsid w:val="00A50A90"/>
    <w:rsid w:val="00AC656A"/>
    <w:rsid w:val="00C00B05"/>
    <w:rsid w:val="00C61692"/>
    <w:rsid w:val="00CF6616"/>
    <w:rsid w:val="00D736C0"/>
    <w:rsid w:val="00DD3D0B"/>
    <w:rsid w:val="00DF6D92"/>
    <w:rsid w:val="00E1452C"/>
    <w:rsid w:val="00E47D87"/>
    <w:rsid w:val="00E90DF1"/>
    <w:rsid w:val="00F20893"/>
    <w:rsid w:val="00F86751"/>
    <w:rsid w:val="00F924E2"/>
    <w:rsid w:val="00FA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BBD80"/>
  <w15:docId w15:val="{9BFA94AE-ED74-4B5C-AE30-D60044CC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uiPriority w:val="99"/>
    <w:rsid w:val="00C00B05"/>
    <w:rPr>
      <w:color w:val="221E1F"/>
      <w:sz w:val="22"/>
    </w:rPr>
  </w:style>
  <w:style w:type="character" w:styleId="Hiperveza">
    <w:name w:val="Hyperlink"/>
    <w:basedOn w:val="Zadanifontodlomka"/>
    <w:uiPriority w:val="99"/>
    <w:unhideWhenUsed/>
    <w:rsid w:val="000F257B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0F257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77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73A6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DF6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F6D9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F6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6D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rag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frs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eur-lex.europa.eu/homepage.html?locale=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fi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11</cp:revision>
  <dcterms:created xsi:type="dcterms:W3CDTF">2020-09-28T11:04:00Z</dcterms:created>
  <dcterms:modified xsi:type="dcterms:W3CDTF">2021-10-14T11:13:00Z</dcterms:modified>
</cp:coreProperties>
</file>